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7" w:type="dxa"/>
        <w:jc w:val="center"/>
        <w:tblBorders>
          <w:top w:val="single" w:sz="48" w:space="0" w:color="0000FF"/>
          <w:left w:val="single" w:sz="48" w:space="0" w:color="0000FF"/>
          <w:bottom w:val="single" w:sz="2" w:space="0" w:color="000000"/>
          <w:insideH w:val="single" w:sz="2" w:space="0" w:color="000000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330"/>
        <w:gridCol w:w="3623"/>
        <w:gridCol w:w="2885"/>
        <w:gridCol w:w="2377"/>
      </w:tblGrid>
      <w:tr w:rsidR="00974806">
        <w:trPr>
          <w:jc w:val="center"/>
        </w:trPr>
        <w:tc>
          <w:tcPr>
            <w:tcW w:w="1701" w:type="dxa"/>
            <w:gridSpan w:val="2"/>
            <w:tcBorders>
              <w:top w:val="single" w:sz="48" w:space="0" w:color="0000FF"/>
              <w:left w:val="single" w:sz="48" w:space="0" w:color="0000FF"/>
              <w:bottom w:val="single" w:sz="2" w:space="0" w:color="000000"/>
            </w:tcBorders>
            <w:shd w:val="clear" w:color="auto" w:fill="auto"/>
            <w:tcMar>
              <w:left w:w="10" w:type="dxa"/>
            </w:tcMar>
          </w:tcPr>
          <w:p w:rsidR="00974806" w:rsidRDefault="003E0F70">
            <w:pPr>
              <w:pStyle w:val="berschrift4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227455" cy="226695"/>
                  <wp:effectExtent l="0" t="0" r="0" b="0"/>
                  <wp:docPr id="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4" w:type="dxa"/>
            <w:gridSpan w:val="2"/>
            <w:tcBorders>
              <w:top w:val="single" w:sz="48" w:space="0" w:color="0000FF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7" w:type="dxa"/>
            </w:tcMar>
          </w:tcPr>
          <w:p w:rsidR="00974806" w:rsidRDefault="003E0F70">
            <w:pPr>
              <w:pStyle w:val="berschrift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pacing w:val="80"/>
                <w:sz w:val="32"/>
                <w:szCs w:val="32"/>
              </w:rPr>
              <w:t>Betriebsanweisung</w:t>
            </w:r>
          </w:p>
        </w:tc>
        <w:tc>
          <w:tcPr>
            <w:tcW w:w="2452" w:type="dxa"/>
            <w:tcBorders>
              <w:top w:val="single" w:sz="48" w:space="0" w:color="0000FF"/>
              <w:left w:val="single" w:sz="2" w:space="0" w:color="000000"/>
              <w:bottom w:val="single" w:sz="2" w:space="0" w:color="000000"/>
              <w:right w:val="single" w:sz="48" w:space="0" w:color="0000FF"/>
            </w:tcBorders>
            <w:shd w:val="clear" w:color="auto" w:fill="auto"/>
            <w:tcMar>
              <w:left w:w="67" w:type="dxa"/>
            </w:tcMar>
          </w:tcPr>
          <w:p w:rsidR="00974806" w:rsidRDefault="003E0F70">
            <w:pPr>
              <w:tabs>
                <w:tab w:val="center" w:pos="1734"/>
              </w:tabs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974806">
        <w:trPr>
          <w:jc w:val="center"/>
        </w:trPr>
        <w:tc>
          <w:tcPr>
            <w:tcW w:w="5421" w:type="dxa"/>
            <w:gridSpan w:val="3"/>
            <w:tcBorders>
              <w:top w:val="single" w:sz="2" w:space="0" w:color="000000"/>
              <w:left w:val="single" w:sz="48" w:space="0" w:color="0000FF"/>
            </w:tcBorders>
            <w:shd w:val="clear" w:color="auto" w:fill="auto"/>
            <w:tcMar>
              <w:left w:w="10" w:type="dxa"/>
            </w:tcMar>
          </w:tcPr>
          <w:p w:rsidR="00974806" w:rsidRDefault="003E0F7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Gebäude: </w:t>
            </w:r>
          </w:p>
        </w:tc>
        <w:tc>
          <w:tcPr>
            <w:tcW w:w="5546" w:type="dxa"/>
            <w:gridSpan w:val="2"/>
            <w:tcBorders>
              <w:top w:val="single" w:sz="2" w:space="0" w:color="000000"/>
              <w:left w:val="single" w:sz="2" w:space="0" w:color="000000"/>
              <w:right w:val="single" w:sz="48" w:space="0" w:color="0000FF"/>
            </w:tcBorders>
            <w:shd w:val="clear" w:color="auto" w:fill="auto"/>
            <w:tcMar>
              <w:left w:w="67" w:type="dxa"/>
            </w:tcMar>
          </w:tcPr>
          <w:p w:rsidR="00974806" w:rsidRDefault="003E0F7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Geltungsbereich:</w:t>
            </w:r>
          </w:p>
        </w:tc>
      </w:tr>
      <w:tr w:rsidR="00974806">
        <w:trPr>
          <w:jc w:val="center"/>
        </w:trPr>
        <w:tc>
          <w:tcPr>
            <w:tcW w:w="10967" w:type="dxa"/>
            <w:gridSpan w:val="5"/>
            <w:tcBorders>
              <w:left w:val="single" w:sz="48" w:space="0" w:color="0000FF"/>
              <w:right w:val="single" w:sz="48" w:space="0" w:color="0000FF"/>
            </w:tcBorders>
            <w:shd w:val="clear" w:color="auto" w:fill="0000FF"/>
            <w:tcMar>
              <w:left w:w="10" w:type="dxa"/>
            </w:tcMar>
          </w:tcPr>
          <w:p w:rsidR="00974806" w:rsidRDefault="003E0F70">
            <w:pPr>
              <w:pStyle w:val="berschrift2"/>
              <w:rPr>
                <w:rFonts w:ascii="Arial" w:hAnsi="Arial" w:cs="Arial"/>
                <w:spacing w:val="60"/>
                <w:sz w:val="24"/>
              </w:rPr>
            </w:pPr>
            <w:r>
              <w:rPr>
                <w:rFonts w:ascii="Arial" w:hAnsi="Arial" w:cs="Arial"/>
                <w:spacing w:val="60"/>
                <w:sz w:val="24"/>
              </w:rPr>
              <w:t>Anwendungsbereich</w:t>
            </w:r>
          </w:p>
        </w:tc>
      </w:tr>
      <w:tr w:rsidR="00974806">
        <w:trPr>
          <w:jc w:val="center"/>
        </w:trPr>
        <w:tc>
          <w:tcPr>
            <w:tcW w:w="10967" w:type="dxa"/>
            <w:gridSpan w:val="5"/>
            <w:tcBorders>
              <w:left w:val="single" w:sz="48" w:space="0" w:color="0000FF"/>
              <w:right w:val="single" w:sz="48" w:space="0" w:color="0000FF"/>
            </w:tcBorders>
            <w:shd w:val="clear" w:color="auto" w:fill="auto"/>
            <w:tcMar>
              <w:left w:w="10" w:type="dxa"/>
            </w:tcMar>
          </w:tcPr>
          <w:p w:rsidR="00974806" w:rsidRDefault="003E0F70">
            <w:pPr>
              <w:spacing w:before="72" w:after="72"/>
              <w:ind w:left="1361" w:right="1361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Diese Betriebsanweisung gilt für den Umgang mit jeglicher Art von L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thium-Akkumulatoren (Li-Ionen, Li-Polymer Akkus und ähnliche).</w:t>
            </w:r>
          </w:p>
        </w:tc>
      </w:tr>
      <w:tr w:rsidR="00974806">
        <w:trPr>
          <w:jc w:val="center"/>
        </w:trPr>
        <w:tc>
          <w:tcPr>
            <w:tcW w:w="10967" w:type="dxa"/>
            <w:gridSpan w:val="5"/>
            <w:tcBorders>
              <w:left w:val="single" w:sz="48" w:space="0" w:color="0000FF"/>
              <w:right w:val="single" w:sz="48" w:space="0" w:color="0000FF"/>
            </w:tcBorders>
            <w:shd w:val="clear" w:color="auto" w:fill="0000FF"/>
            <w:tcMar>
              <w:left w:w="10" w:type="dxa"/>
            </w:tcMar>
          </w:tcPr>
          <w:p w:rsidR="00974806" w:rsidRDefault="003E0F70">
            <w:pPr>
              <w:pStyle w:val="berschrift2"/>
              <w:rPr>
                <w:rFonts w:ascii="Arial" w:hAnsi="Arial" w:cs="Arial"/>
                <w:spacing w:val="60"/>
                <w:sz w:val="24"/>
              </w:rPr>
            </w:pPr>
            <w:r>
              <w:rPr>
                <w:rFonts w:ascii="Arial" w:hAnsi="Arial" w:cs="Arial"/>
                <w:spacing w:val="60"/>
                <w:sz w:val="24"/>
              </w:rPr>
              <w:t>Gefahren für Mensch und Umwelt</w:t>
            </w:r>
          </w:p>
        </w:tc>
      </w:tr>
      <w:tr w:rsidR="00974806">
        <w:trPr>
          <w:jc w:val="center"/>
        </w:trPr>
        <w:tc>
          <w:tcPr>
            <w:tcW w:w="1361" w:type="dxa"/>
            <w:tcBorders>
              <w:left w:val="single" w:sz="48" w:space="0" w:color="0000FF"/>
            </w:tcBorders>
            <w:shd w:val="clear" w:color="auto" w:fill="auto"/>
            <w:tcMar>
              <w:left w:w="10" w:type="dxa"/>
            </w:tcMar>
          </w:tcPr>
          <w:p w:rsidR="00974806" w:rsidRDefault="003E0F70">
            <w:pPr>
              <w:spacing w:before="72" w:after="72"/>
              <w:ind w:left="57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93700" cy="351790"/>
                  <wp:effectExtent l="0" t="0" r="0" b="0"/>
                  <wp:docPr id="2" name="Bil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806" w:rsidRDefault="003E0F70">
            <w:pPr>
              <w:spacing w:before="72" w:after="72"/>
              <w:ind w:left="57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54660" cy="396875"/>
                  <wp:effectExtent l="0" t="0" r="0" b="0"/>
                  <wp:docPr id="3" name="Bil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806" w:rsidRDefault="003E0F70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de-DE"/>
              </w:rPr>
              <w:drawing>
                <wp:inline distT="0" distB="0" distL="0" distR="0">
                  <wp:extent cx="474980" cy="414020"/>
                  <wp:effectExtent l="0" t="0" r="0" b="0"/>
                  <wp:docPr id="4" name="Bil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806" w:rsidRDefault="003E0F70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de-DE"/>
              </w:rPr>
              <w:drawing>
                <wp:inline distT="0" distB="0" distL="0" distR="0">
                  <wp:extent cx="473075" cy="403860"/>
                  <wp:effectExtent l="0" t="0" r="0" b="0"/>
                  <wp:docPr id="5" name="Bil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6" w:type="dxa"/>
            <w:gridSpan w:val="4"/>
            <w:tcBorders>
              <w:right w:val="single" w:sz="48" w:space="0" w:color="0000FF"/>
            </w:tcBorders>
            <w:shd w:val="clear" w:color="auto" w:fill="auto"/>
          </w:tcPr>
          <w:p w:rsidR="00974806" w:rsidRDefault="00974806">
            <w:pPr>
              <w:pStyle w:val="FormatvorlageRegeln"/>
              <w:numPr>
                <w:ilvl w:val="0"/>
                <w:numId w:val="0"/>
              </w:numPr>
              <w:snapToGrid w:val="0"/>
              <w:rPr>
                <w:sz w:val="22"/>
              </w:rPr>
            </w:pPr>
          </w:p>
          <w:p w:rsidR="00974806" w:rsidRDefault="003E0F70" w:rsidP="00D57FE0">
            <w:pPr>
              <w:pStyle w:val="FormatvorlageRegeln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Mechanische, thermische oder elektrische Belastungen, </w:t>
            </w:r>
            <w:proofErr w:type="spellStart"/>
            <w:r>
              <w:rPr>
                <w:sz w:val="22"/>
              </w:rPr>
              <w:t>Umprogrammierung</w:t>
            </w:r>
            <w:proofErr w:type="spellEnd"/>
            <w:r>
              <w:rPr>
                <w:sz w:val="22"/>
              </w:rPr>
              <w:t xml:space="preserve"> von Steuerger</w:t>
            </w:r>
            <w:r>
              <w:rPr>
                <w:sz w:val="22"/>
              </w:rPr>
              <w:t>ä</w:t>
            </w:r>
            <w:r>
              <w:rPr>
                <w:sz w:val="22"/>
              </w:rPr>
              <w:t>ten entgegen der Herstellervorgaben (z.B. Stöße, Hitze, Kälte, falsche Ladung, Kurzschluss der Pole, zu hohe Entladeströme) können eine Zerstörung des Akkus hervorrufen, h</w:t>
            </w:r>
            <w:r>
              <w:rPr>
                <w:sz w:val="22"/>
              </w:rPr>
              <w:t>ierbei kommt es zu:</w:t>
            </w:r>
          </w:p>
          <w:p w:rsidR="00974806" w:rsidRDefault="003E0F70">
            <w:pPr>
              <w:pStyle w:val="FormatvorlageRegeln"/>
              <w:numPr>
                <w:ilvl w:val="0"/>
                <w:numId w:val="2"/>
              </w:numPr>
              <w:tabs>
                <w:tab w:val="left" w:pos="347"/>
              </w:tabs>
              <w:ind w:left="347" w:hanging="347"/>
            </w:pPr>
            <w:r>
              <w:rPr>
                <w:sz w:val="22"/>
              </w:rPr>
              <w:t>einem Austritt von ätzender Flüssigkeit, verbunden mit Hautreizungen, Verbrennungen und Verätzungen (Flusssäure, Schwefeldioxid, Phosphorsäure).</w:t>
            </w:r>
          </w:p>
          <w:p w:rsidR="00974806" w:rsidRDefault="003E0F70">
            <w:pPr>
              <w:pStyle w:val="FormatvorlageRegeln"/>
              <w:numPr>
                <w:ilvl w:val="0"/>
                <w:numId w:val="2"/>
              </w:numPr>
              <w:tabs>
                <w:tab w:val="left" w:pos="347"/>
              </w:tabs>
              <w:ind w:left="347" w:hanging="347"/>
            </w:pPr>
            <w:r>
              <w:rPr>
                <w:sz w:val="22"/>
              </w:rPr>
              <w:t>einer erhöhten Brandgefährdung durch Austritt des Elektrolyten (brennbares Lösemittel).</w:t>
            </w:r>
          </w:p>
          <w:p w:rsidR="00974806" w:rsidRDefault="003E0F70">
            <w:pPr>
              <w:pStyle w:val="FormatvorlageRegeln"/>
              <w:numPr>
                <w:ilvl w:val="0"/>
                <w:numId w:val="2"/>
              </w:numPr>
              <w:tabs>
                <w:tab w:val="left" w:pos="347"/>
              </w:tabs>
              <w:ind w:left="347" w:hanging="347"/>
            </w:pPr>
            <w:r>
              <w:rPr>
                <w:sz w:val="22"/>
              </w:rPr>
              <w:t>ei</w:t>
            </w:r>
            <w:r>
              <w:rPr>
                <w:sz w:val="22"/>
              </w:rPr>
              <w:t>nem Austritt giftiger Inhaltsstoffe bzw. Verbrennungsprodukte im Brandfall (Kohlenstof</w:t>
            </w:r>
            <w:r>
              <w:rPr>
                <w:sz w:val="22"/>
              </w:rPr>
              <w:t>f</w:t>
            </w:r>
            <w:r>
              <w:rPr>
                <w:sz w:val="22"/>
              </w:rPr>
              <w:t>monoxid, Kobaltoxide, Feinstaub, Ruß).</w:t>
            </w:r>
          </w:p>
          <w:p w:rsidR="00974806" w:rsidRDefault="003E0F70">
            <w:pPr>
              <w:pStyle w:val="FormatvorlageRegeln"/>
              <w:numPr>
                <w:ilvl w:val="0"/>
                <w:numId w:val="2"/>
              </w:numPr>
              <w:tabs>
                <w:tab w:val="left" w:pos="347"/>
              </w:tabs>
              <w:ind w:left="347" w:hanging="347"/>
            </w:pPr>
            <w:r>
              <w:rPr>
                <w:sz w:val="22"/>
              </w:rPr>
              <w:t>Gefahr durch hohe Ladeströme beim Nachladen der Li-Ionen-Akkus!  Zu hohe Ladestr</w:t>
            </w:r>
            <w:r>
              <w:rPr>
                <w:sz w:val="22"/>
              </w:rPr>
              <w:t>ö</w:t>
            </w:r>
            <w:r>
              <w:rPr>
                <w:sz w:val="22"/>
              </w:rPr>
              <w:t>me führen zu Überhitzungen und Bränden.</w:t>
            </w:r>
          </w:p>
          <w:p w:rsidR="00974806" w:rsidRDefault="003E0F70">
            <w:pPr>
              <w:pStyle w:val="FormatvorlageRegeln"/>
              <w:numPr>
                <w:ilvl w:val="0"/>
                <w:numId w:val="2"/>
              </w:numPr>
              <w:tabs>
                <w:tab w:val="left" w:pos="347"/>
              </w:tabs>
              <w:ind w:left="347" w:hanging="347"/>
            </w:pPr>
            <w:r>
              <w:rPr>
                <w:sz w:val="22"/>
              </w:rPr>
              <w:t>Berücksichtigung von Entladungsströmen, insbesondere bei (versehentlichen) Kur</w:t>
            </w:r>
            <w:r>
              <w:rPr>
                <w:sz w:val="22"/>
              </w:rPr>
              <w:t>z</w:t>
            </w:r>
            <w:r>
              <w:rPr>
                <w:sz w:val="22"/>
              </w:rPr>
              <w:t xml:space="preserve">schlüssen. </w:t>
            </w:r>
          </w:p>
          <w:p w:rsidR="00974806" w:rsidRDefault="00974806" w:rsidP="00D57FE0">
            <w:pPr>
              <w:spacing w:after="72"/>
              <w:ind w:right="1361"/>
              <w:rPr>
                <w:rFonts w:ascii="Arial" w:hAnsi="Arial" w:cs="Arial"/>
                <w:sz w:val="22"/>
              </w:rPr>
            </w:pPr>
          </w:p>
        </w:tc>
      </w:tr>
      <w:tr w:rsidR="00974806">
        <w:trPr>
          <w:jc w:val="center"/>
        </w:trPr>
        <w:tc>
          <w:tcPr>
            <w:tcW w:w="10967" w:type="dxa"/>
            <w:gridSpan w:val="5"/>
            <w:tcBorders>
              <w:left w:val="single" w:sz="48" w:space="0" w:color="0000FF"/>
              <w:right w:val="single" w:sz="48" w:space="0" w:color="0000FF"/>
            </w:tcBorders>
            <w:shd w:val="clear" w:color="auto" w:fill="0000FF"/>
            <w:tcMar>
              <w:left w:w="10" w:type="dxa"/>
            </w:tcMar>
          </w:tcPr>
          <w:p w:rsidR="00974806" w:rsidRDefault="003E0F70">
            <w:pPr>
              <w:pStyle w:val="berschrift2"/>
              <w:rPr>
                <w:rFonts w:ascii="Arial" w:hAnsi="Arial" w:cs="Arial"/>
                <w:spacing w:val="60"/>
                <w:sz w:val="24"/>
              </w:rPr>
            </w:pPr>
            <w:r>
              <w:rPr>
                <w:rFonts w:ascii="Arial" w:hAnsi="Arial" w:cs="Arial"/>
                <w:spacing w:val="60"/>
                <w:sz w:val="24"/>
              </w:rPr>
              <w:t>Schutzmaßnahmen und Verhaltensregeln</w:t>
            </w:r>
          </w:p>
        </w:tc>
      </w:tr>
      <w:tr w:rsidR="00974806">
        <w:trPr>
          <w:jc w:val="center"/>
        </w:trPr>
        <w:tc>
          <w:tcPr>
            <w:tcW w:w="1361" w:type="dxa"/>
            <w:tcBorders>
              <w:left w:val="single" w:sz="48" w:space="0" w:color="0000FF"/>
              <w:bottom w:val="single" w:sz="48" w:space="0" w:color="0000FF"/>
            </w:tcBorders>
            <w:shd w:val="clear" w:color="auto" w:fill="auto"/>
            <w:tcMar>
              <w:left w:w="10" w:type="dxa"/>
            </w:tcMar>
          </w:tcPr>
          <w:p w:rsidR="00974806" w:rsidRDefault="00974806">
            <w:pPr>
              <w:snapToGrid w:val="0"/>
              <w:spacing w:before="72" w:after="72"/>
              <w:ind w:left="57"/>
              <w:rPr>
                <w:rFonts w:ascii="Arial" w:hAnsi="Arial" w:cs="Arial"/>
                <w:spacing w:val="60"/>
                <w:sz w:val="22"/>
                <w:lang w:eastAsia="de-DE"/>
              </w:rPr>
            </w:pPr>
          </w:p>
          <w:p w:rsidR="00974806" w:rsidRDefault="003E0F70">
            <w:pPr>
              <w:spacing w:before="72" w:after="72"/>
              <w:ind w:left="57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4985" cy="486410"/>
                  <wp:effectExtent l="0" t="0" r="0" b="0"/>
                  <wp:docPr id="6" name="Bil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806" w:rsidRDefault="00974806">
            <w:pPr>
              <w:spacing w:before="72" w:after="72"/>
              <w:ind w:left="57"/>
              <w:rPr>
                <w:lang w:eastAsia="de-DE"/>
              </w:rPr>
            </w:pPr>
          </w:p>
          <w:p w:rsidR="00974806" w:rsidRDefault="003E0F70">
            <w:pPr>
              <w:spacing w:before="72" w:after="72"/>
              <w:ind w:left="57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7840" cy="459105"/>
                  <wp:effectExtent l="0" t="0" r="0" b="0"/>
                  <wp:docPr id="7" name="Bil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806" w:rsidRDefault="00974806">
            <w:pPr>
              <w:spacing w:before="72" w:after="72"/>
              <w:ind w:left="57"/>
              <w:rPr>
                <w:lang w:eastAsia="de-DE"/>
              </w:rPr>
            </w:pPr>
          </w:p>
          <w:p w:rsidR="00974806" w:rsidRDefault="003E0F70">
            <w:pPr>
              <w:spacing w:before="72" w:after="72"/>
              <w:ind w:left="57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7205" cy="479425"/>
                  <wp:effectExtent l="0" t="0" r="0" b="0"/>
                  <wp:docPr id="8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806" w:rsidRDefault="00974806">
            <w:pPr>
              <w:spacing w:before="72" w:after="72"/>
              <w:ind w:left="57"/>
              <w:rPr>
                <w:lang w:eastAsia="de-DE"/>
              </w:rPr>
            </w:pPr>
          </w:p>
          <w:p w:rsidR="00974806" w:rsidRDefault="00974806">
            <w:pPr>
              <w:spacing w:before="72" w:after="72"/>
              <w:ind w:left="57"/>
              <w:rPr>
                <w:lang w:eastAsia="de-DE"/>
              </w:rPr>
            </w:pPr>
          </w:p>
          <w:p w:rsidR="00974806" w:rsidRDefault="00974806">
            <w:pPr>
              <w:spacing w:before="72" w:after="72"/>
              <w:ind w:left="57"/>
              <w:rPr>
                <w:lang w:eastAsia="de-DE"/>
              </w:rPr>
            </w:pPr>
          </w:p>
          <w:p w:rsidR="00974806" w:rsidRDefault="00974806">
            <w:pPr>
              <w:spacing w:before="72" w:after="72"/>
              <w:ind w:left="57"/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</w:tc>
        <w:tc>
          <w:tcPr>
            <w:tcW w:w="9606" w:type="dxa"/>
            <w:gridSpan w:val="4"/>
            <w:tcBorders>
              <w:bottom w:val="single" w:sz="48" w:space="0" w:color="0000FF"/>
              <w:right w:val="single" w:sz="48" w:space="0" w:color="0000FF"/>
            </w:tcBorders>
            <w:shd w:val="clear" w:color="auto" w:fill="auto"/>
          </w:tcPr>
          <w:p w:rsidR="00974806" w:rsidRDefault="00974806">
            <w:pPr>
              <w:pStyle w:val="FormatvorlageRegeln"/>
              <w:numPr>
                <w:ilvl w:val="0"/>
                <w:numId w:val="0"/>
              </w:numPr>
              <w:snapToGrid w:val="0"/>
              <w:ind w:left="284"/>
              <w:rPr>
                <w:sz w:val="22"/>
              </w:rPr>
            </w:pPr>
          </w:p>
          <w:p w:rsidR="00974806" w:rsidRDefault="003E0F70">
            <w:pPr>
              <w:pStyle w:val="FormatvorlageRegeln"/>
              <w:numPr>
                <w:ilvl w:val="0"/>
                <w:numId w:val="0"/>
              </w:numPr>
              <w:ind w:left="284"/>
            </w:pPr>
            <w:r>
              <w:rPr>
                <w:b/>
                <w:szCs w:val="24"/>
              </w:rPr>
              <w:t xml:space="preserve">Prinzipiell sind Lithium-Akkus bei sachgemäßer Handhabung unter den vom Hersteller angegebenen Parametern </w:t>
            </w:r>
            <w:r>
              <w:rPr>
                <w:b/>
                <w:szCs w:val="24"/>
              </w:rPr>
              <w:t>im Rahmen ihrer zyklischen und kale</w:t>
            </w:r>
            <w:r>
              <w:rPr>
                <w:b/>
                <w:szCs w:val="24"/>
              </w:rPr>
              <w:t>n</w:t>
            </w:r>
            <w:r>
              <w:rPr>
                <w:b/>
                <w:szCs w:val="24"/>
              </w:rPr>
              <w:t>darischen Lebensdauer bei der Verwendung sicher.</w:t>
            </w:r>
          </w:p>
          <w:p w:rsidR="00D57FE0" w:rsidRDefault="003E0F70" w:rsidP="00D57FE0">
            <w:pPr>
              <w:pStyle w:val="FormatvorlageRegeln"/>
              <w:numPr>
                <w:ilvl w:val="0"/>
                <w:numId w:val="0"/>
              </w:numPr>
              <w:ind w:left="284"/>
              <w:rPr>
                <w:b/>
                <w:szCs w:val="24"/>
              </w:rPr>
            </w:pPr>
            <w:r>
              <w:rPr>
                <w:b/>
                <w:szCs w:val="24"/>
              </w:rPr>
              <w:t>Es sind jedoch unbedingt folgende Aspekte zu beachten: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Es dürfen nur berechtigte sowie unterwiesene Personen mit Li-Ionen Akkus hanti</w:t>
            </w:r>
            <w:r>
              <w:rPr>
                <w:szCs w:val="24"/>
              </w:rPr>
              <w:t>e</w:t>
            </w:r>
            <w:r>
              <w:rPr>
                <w:szCs w:val="24"/>
              </w:rPr>
              <w:t>ren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 xml:space="preserve">Bedienungsanleitung / </w:t>
            </w:r>
            <w:r>
              <w:rPr>
                <w:szCs w:val="24"/>
              </w:rPr>
              <w:t>Sicherheitsdatenblatt des Herstellers beachten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Li-Akkus vor mechanischer Belastung (Stöße, Stürze, Vibrationen) schützen. M</w:t>
            </w:r>
            <w:r>
              <w:rPr>
                <w:szCs w:val="24"/>
              </w:rPr>
              <w:t>e</w:t>
            </w:r>
            <w:r>
              <w:rPr>
                <w:szCs w:val="24"/>
              </w:rPr>
              <w:t>chanisch beschädigte Akkus können auch erst nach einigen Stunden zu brennen beginnen.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Batteriepole vor Kurzschluss schützen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Li-Akkus</w:t>
            </w:r>
            <w:r>
              <w:rPr>
                <w:szCs w:val="24"/>
              </w:rPr>
              <w:t xml:space="preserve"> keinen hohen Temperaturen aussetzen – kühl und trocken lagern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Li-Akkus regelmäßig auf Beschädigungen kontrollieren:</w:t>
            </w:r>
          </w:p>
          <w:p w:rsidR="00974806" w:rsidRDefault="003E0F70">
            <w:pPr>
              <w:autoSpaceDE w:val="0"/>
              <w:ind w:left="284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Sind Anzeichen von Rauch-, Hitze-, Geruch- und Geräuschentwicklung oder 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formation erkennbar – den Akkumulator vom Gerät trennen und umgeh</w:t>
            </w:r>
            <w:r>
              <w:rPr>
                <w:rFonts w:ascii="Arial" w:hAnsi="Arial" w:cs="Arial"/>
                <w:sz w:val="24"/>
                <w:szCs w:val="24"/>
              </w:rPr>
              <w:t>end an 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nen sicheren Aufbewahrungsort (z.B. feuerbeständigen Behälter oder Sicherheit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abstand zu brennbaren Materialien) ablegen. Weiteres Handling nur mit geeigneter PSA.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Lagerung und Nachladen in feuerbeständig bzw. räumlich abgetrennten Räumen oder Ber</w:t>
            </w:r>
            <w:r>
              <w:rPr>
                <w:szCs w:val="24"/>
              </w:rPr>
              <w:t>eichen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Li-Akkus nicht in der Nähe brennbarer Materialien lagern (Sicherheitsabstand mind. 2,5 m)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Mischlagerung mit anderen Produkten ist nicht zulässig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Lagerraum ausreichend belüften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Während des Ladevorgangs den Akku in eine feuerfeste Wanne oder Unterlage</w:t>
            </w:r>
            <w:r>
              <w:rPr>
                <w:szCs w:val="24"/>
              </w:rPr>
              <w:t xml:space="preserve"> stellen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 xml:space="preserve">Nur vom Hersteller freigegebene Ladegeräte benutzen. Ein </w:t>
            </w:r>
            <w:proofErr w:type="spellStart"/>
            <w:r>
              <w:rPr>
                <w:szCs w:val="24"/>
              </w:rPr>
              <w:t>LiPo</w:t>
            </w:r>
            <w:proofErr w:type="spellEnd"/>
            <w:r>
              <w:rPr>
                <w:szCs w:val="24"/>
              </w:rPr>
              <w:t>-Akku, der mit e</w:t>
            </w:r>
            <w:r>
              <w:rPr>
                <w:szCs w:val="24"/>
              </w:rPr>
              <w:t>i</w:t>
            </w:r>
            <w:r>
              <w:rPr>
                <w:szCs w:val="24"/>
              </w:rPr>
              <w:lastRenderedPageBreak/>
              <w:t>nem Ladegerät für Bleibatterien geladen wird, wird zu brennen beginnen.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Cs w:val="24"/>
              </w:rPr>
              <w:t>Zu hohe Ladespannungen und Überladung sind unbedingt zu vermeiden</w:t>
            </w:r>
            <w:bookmarkStart w:id="0" w:name="_GoBack"/>
            <w:bookmarkEnd w:id="0"/>
          </w:p>
          <w:p w:rsidR="00974806" w:rsidRDefault="00974806">
            <w:pPr>
              <w:pStyle w:val="FormatvorlageRegel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</w:p>
        </w:tc>
      </w:tr>
    </w:tbl>
    <w:p w:rsidR="00974806" w:rsidRDefault="003E0F70">
      <w:pPr>
        <w:jc w:val="right"/>
      </w:pPr>
      <w:r>
        <w:lastRenderedPageBreak/>
        <w:t>…</w:t>
      </w:r>
    </w:p>
    <w:p w:rsidR="00974806" w:rsidRDefault="003E0F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Seite 2</w:t>
      </w:r>
    </w:p>
    <w:p w:rsidR="00974806" w:rsidRDefault="0097480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967" w:type="dxa"/>
        <w:jc w:val="center"/>
        <w:tblBorders>
          <w:top w:val="single" w:sz="48" w:space="0" w:color="0000FF"/>
          <w:left w:val="single" w:sz="48" w:space="0" w:color="0000FF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9606"/>
      </w:tblGrid>
      <w:tr w:rsidR="00974806">
        <w:trPr>
          <w:jc w:val="center"/>
        </w:trPr>
        <w:tc>
          <w:tcPr>
            <w:tcW w:w="1361" w:type="dxa"/>
            <w:tcBorders>
              <w:top w:val="single" w:sz="48" w:space="0" w:color="0000FF"/>
              <w:left w:val="single" w:sz="48" w:space="0" w:color="0000FF"/>
            </w:tcBorders>
            <w:shd w:val="clear" w:color="auto" w:fill="auto"/>
            <w:tcMar>
              <w:left w:w="10" w:type="dxa"/>
            </w:tcMar>
          </w:tcPr>
          <w:p w:rsidR="00974806" w:rsidRDefault="00974806">
            <w:pPr>
              <w:snapToGrid w:val="0"/>
              <w:spacing w:before="72" w:after="72"/>
              <w:ind w:left="57"/>
              <w:rPr>
                <w:lang w:eastAsia="de-DE"/>
              </w:rPr>
            </w:pPr>
          </w:p>
          <w:p w:rsidR="00974806" w:rsidRDefault="00974806">
            <w:pPr>
              <w:spacing w:before="72" w:after="72"/>
              <w:ind w:left="57"/>
              <w:rPr>
                <w:lang w:eastAsia="de-DE"/>
              </w:rPr>
            </w:pPr>
          </w:p>
          <w:p w:rsidR="00974806" w:rsidRDefault="00974806">
            <w:pPr>
              <w:spacing w:before="72" w:after="72"/>
              <w:ind w:left="57"/>
              <w:rPr>
                <w:lang w:eastAsia="de-DE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  <w:lang w:eastAsia="de-DE"/>
              </w:rPr>
            </w:pPr>
          </w:p>
        </w:tc>
        <w:tc>
          <w:tcPr>
            <w:tcW w:w="9606" w:type="dxa"/>
            <w:tcBorders>
              <w:top w:val="single" w:sz="48" w:space="0" w:color="0000FF"/>
              <w:right w:val="single" w:sz="48" w:space="0" w:color="0000FF"/>
            </w:tcBorders>
            <w:shd w:val="clear" w:color="auto" w:fill="auto"/>
          </w:tcPr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Im Bedarfsfall</w:t>
            </w:r>
            <w:r>
              <w:rPr>
                <w:szCs w:val="24"/>
              </w:rPr>
              <w:t xml:space="preserve"> ist persönliche Schutzausrüstung (PSA) zu benutzen (u.a. Gesicht</w:t>
            </w:r>
            <w:r>
              <w:rPr>
                <w:szCs w:val="24"/>
              </w:rPr>
              <w:t>s</w:t>
            </w:r>
            <w:r>
              <w:rPr>
                <w:szCs w:val="24"/>
              </w:rPr>
              <w:t>schutz, geeignete Handschuhe) gegebenenfalls Atemschutz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</w:pPr>
            <w:r>
              <w:rPr>
                <w:szCs w:val="24"/>
              </w:rPr>
              <w:t>Bereitstellung geeigneter Feuerlöscher (Schaum- oder CO</w:t>
            </w:r>
            <w:r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 -Löscher, Sand)</w:t>
            </w:r>
          </w:p>
          <w:p w:rsidR="00974806" w:rsidRDefault="003E0F70">
            <w:pPr>
              <w:pStyle w:val="FormatvorlageRegeln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Umgehende fachgerechte Entsorgung defekter Li-Ionen-Akkus</w:t>
            </w:r>
          </w:p>
          <w:p w:rsidR="00974806" w:rsidRDefault="00974806">
            <w:pPr>
              <w:ind w:left="705" w:right="1361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74806">
        <w:trPr>
          <w:jc w:val="center"/>
        </w:trPr>
        <w:tc>
          <w:tcPr>
            <w:tcW w:w="10967" w:type="dxa"/>
            <w:gridSpan w:val="2"/>
            <w:tcBorders>
              <w:left w:val="single" w:sz="48" w:space="0" w:color="0000FF"/>
              <w:right w:val="single" w:sz="48" w:space="0" w:color="0000FF"/>
            </w:tcBorders>
            <w:shd w:val="clear" w:color="auto" w:fill="0000FF"/>
            <w:tcMar>
              <w:left w:w="10" w:type="dxa"/>
            </w:tcMar>
          </w:tcPr>
          <w:p w:rsidR="00974806" w:rsidRDefault="003E0F70">
            <w:pPr>
              <w:pStyle w:val="berschrift2"/>
              <w:rPr>
                <w:rFonts w:ascii="Arial" w:hAnsi="Arial" w:cs="Arial"/>
                <w:spacing w:val="60"/>
                <w:sz w:val="24"/>
              </w:rPr>
            </w:pPr>
            <w:r>
              <w:rPr>
                <w:rFonts w:ascii="Arial" w:hAnsi="Arial" w:cs="Arial"/>
                <w:spacing w:val="60"/>
                <w:sz w:val="24"/>
              </w:rPr>
              <w:t>Verhalten bei Störungen</w:t>
            </w:r>
          </w:p>
        </w:tc>
      </w:tr>
      <w:tr w:rsidR="00974806">
        <w:trPr>
          <w:jc w:val="center"/>
        </w:trPr>
        <w:tc>
          <w:tcPr>
            <w:tcW w:w="1361" w:type="dxa"/>
            <w:tcBorders>
              <w:left w:val="single" w:sz="48" w:space="0" w:color="0000FF"/>
            </w:tcBorders>
            <w:shd w:val="clear" w:color="auto" w:fill="auto"/>
            <w:tcMar>
              <w:left w:w="10" w:type="dxa"/>
            </w:tcMar>
          </w:tcPr>
          <w:p w:rsidR="00974806" w:rsidRDefault="003E0F70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93700" cy="351790"/>
                  <wp:effectExtent l="0" t="0" r="0" b="0"/>
                  <wp:docPr id="9" name="Bild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974806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</w:p>
          <w:p w:rsidR="00974806" w:rsidRDefault="003E0F70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5300" cy="495300"/>
                  <wp:effectExtent l="0" t="0" r="0" b="0"/>
                  <wp:docPr id="10" name="Bild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6" w:type="dxa"/>
            <w:tcBorders>
              <w:right w:val="single" w:sz="48" w:space="0" w:color="0000FF"/>
            </w:tcBorders>
            <w:shd w:val="clear" w:color="auto" w:fill="auto"/>
          </w:tcPr>
          <w:p w:rsidR="00974806" w:rsidRDefault="003E0F70">
            <w:pPr>
              <w:pStyle w:val="FormatvorlageRegeln"/>
              <w:numPr>
                <w:ilvl w:val="0"/>
                <w:numId w:val="0"/>
              </w:num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Störungen beim Ladevorgang:</w:t>
            </w:r>
          </w:p>
          <w:p w:rsidR="00974806" w:rsidRDefault="003E0F70">
            <w:pPr>
              <w:pStyle w:val="FormatvorlageRegeln"/>
              <w:numPr>
                <w:ilvl w:val="0"/>
                <w:numId w:val="5"/>
              </w:numPr>
              <w:ind w:left="347" w:hanging="36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Bei Betriebsstörungen, Ladegerät sofort abschalten</w:t>
            </w:r>
          </w:p>
          <w:p w:rsidR="00974806" w:rsidRDefault="003E0F70">
            <w:pPr>
              <w:pStyle w:val="FormatvorlageRegeln"/>
              <w:numPr>
                <w:ilvl w:val="0"/>
                <w:numId w:val="5"/>
              </w:numPr>
              <w:ind w:left="347" w:hanging="36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Steckverbindung ziehen; Li-Ionen-Akku abklemmen, wenn gefahrlos möglich</w:t>
            </w:r>
          </w:p>
          <w:p w:rsidR="00974806" w:rsidRDefault="003E0F70">
            <w:pPr>
              <w:pStyle w:val="FormatvorlageRegeln"/>
              <w:numPr>
                <w:ilvl w:val="0"/>
                <w:numId w:val="5"/>
              </w:numPr>
              <w:ind w:left="347" w:hanging="36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Festgestellte Mängel sofort dem Vorgesetzten melden</w:t>
            </w:r>
          </w:p>
          <w:p w:rsidR="00974806" w:rsidRDefault="00974806">
            <w:pPr>
              <w:pStyle w:val="FormatvorlageRegeln"/>
              <w:numPr>
                <w:ilvl w:val="0"/>
                <w:numId w:val="0"/>
              </w:numPr>
              <w:ind w:left="794" w:hanging="227"/>
              <w:rPr>
                <w:sz w:val="22"/>
                <w:szCs w:val="22"/>
              </w:rPr>
            </w:pPr>
          </w:p>
          <w:p w:rsidR="00974806" w:rsidRDefault="003E0F70">
            <w:pPr>
              <w:autoSpaceDE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Beseitigen von </w:t>
            </w:r>
            <w:r>
              <w:rPr>
                <w:rFonts w:ascii="Arial" w:hAnsi="Arial" w:cs="Arial"/>
                <w:b/>
                <w:sz w:val="22"/>
              </w:rPr>
              <w:t>ausgetretenen Flüssigkeiten:</w:t>
            </w:r>
          </w:p>
          <w:p w:rsidR="00974806" w:rsidRDefault="003E0F70">
            <w:pPr>
              <w:numPr>
                <w:ilvl w:val="0"/>
                <w:numId w:val="3"/>
              </w:numPr>
              <w:autoSpaceDE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Schutzbrille, laugenbeständige Handschuhe und ggf. lösemittelbeständige Schutzkleidung tragen</w:t>
            </w:r>
          </w:p>
          <w:p w:rsidR="00974806" w:rsidRDefault="003E0F70">
            <w:pPr>
              <w:numPr>
                <w:ilvl w:val="0"/>
                <w:numId w:val="3"/>
              </w:numPr>
              <w:autoSpaceDE w:val="0"/>
            </w:pPr>
            <w:r>
              <w:rPr>
                <w:rFonts w:ascii="Arial" w:hAnsi="Arial" w:cs="Arial"/>
                <w:sz w:val="22"/>
              </w:rPr>
              <w:t>Aufwischen mit trockenem, saugfähigem Textil und getrennt von anderen Abfällen als gefährl</w:t>
            </w:r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 xml:space="preserve">chen Abfall bei Sonderabfallsammelstellen </w:t>
            </w:r>
            <w:r>
              <w:rPr>
                <w:rFonts w:ascii="Arial" w:hAnsi="Arial" w:cs="Arial"/>
                <w:sz w:val="22"/>
              </w:rPr>
              <w:t xml:space="preserve">nach nationaler Vorschrift entsorgen. </w:t>
            </w:r>
          </w:p>
          <w:p w:rsidR="00974806" w:rsidRDefault="003E0F70">
            <w:pPr>
              <w:numPr>
                <w:ilvl w:val="0"/>
                <w:numId w:val="3"/>
              </w:numPr>
              <w:autoSpaceDE w:val="0"/>
            </w:pPr>
            <w:r>
              <w:rPr>
                <w:rFonts w:ascii="Arial" w:hAnsi="Arial" w:cs="Arial"/>
                <w:sz w:val="22"/>
              </w:rPr>
              <w:t>Dämpfe nicht einatmen. Nutzung der PSA, ggf. Atemschutz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974806" w:rsidRDefault="003E0F70">
            <w:pPr>
              <w:autoSpaceDE w:val="0"/>
            </w:pPr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m Brandfall: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974806" w:rsidRDefault="003E0F70">
            <w:pPr>
              <w:numPr>
                <w:ilvl w:val="0"/>
                <w:numId w:val="6"/>
              </w:numPr>
              <w:autoSpaceDE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Feuerwehr über (0) 112 alarmieren und auf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LiPo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-Brand hinweisen</w:t>
            </w:r>
          </w:p>
          <w:p w:rsidR="00974806" w:rsidRDefault="003E0F70">
            <w:pPr>
              <w:numPr>
                <w:ilvl w:val="0"/>
                <w:numId w:val="6"/>
              </w:numPr>
              <w:autoSpaceDE w:val="0"/>
            </w:pPr>
            <w:r>
              <w:rPr>
                <w:rFonts w:ascii="Arial" w:hAnsi="Arial" w:cs="Arial"/>
                <w:sz w:val="22"/>
              </w:rPr>
              <w:t>Im Brandfall können giftige Rauchgase entstehen. Bereich umgehend verlassen und Um</w:t>
            </w:r>
            <w:r>
              <w:rPr>
                <w:rFonts w:ascii="Arial" w:hAnsi="Arial" w:cs="Arial"/>
                <w:sz w:val="22"/>
              </w:rPr>
              <w:t>g</w:t>
            </w:r>
            <w:r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bung informieren</w:t>
            </w:r>
          </w:p>
          <w:p w:rsidR="00974806" w:rsidRDefault="003E0F70">
            <w:pPr>
              <w:numPr>
                <w:ilvl w:val="0"/>
                <w:numId w:val="6"/>
              </w:numPr>
              <w:autoSpaceDE w:val="0"/>
            </w:pPr>
            <w:r>
              <w:rPr>
                <w:rFonts w:ascii="Arial" w:hAnsi="Arial" w:cs="Arial"/>
                <w:sz w:val="22"/>
              </w:rPr>
              <w:t>Im Außenbereich, außerhalb der entstehenden Dämpfe und Gase bleiben, Windrichtung b</w:t>
            </w:r>
            <w:r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achten. Kobaltoxide sind kanzerogen.</w:t>
            </w:r>
          </w:p>
          <w:p w:rsidR="00974806" w:rsidRDefault="003E0F70">
            <w:pPr>
              <w:numPr>
                <w:ilvl w:val="0"/>
                <w:numId w:val="6"/>
              </w:numPr>
              <w:autoSpaceDE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Wenn gefahrlos möglich, Akkumulatoren aus dem Bereich des Feuers entfernen.</w:t>
            </w:r>
          </w:p>
          <w:p w:rsidR="00974806" w:rsidRDefault="003E0F70">
            <w:pPr>
              <w:numPr>
                <w:ilvl w:val="0"/>
                <w:numId w:val="6"/>
              </w:numPr>
              <w:autoSpaceDE w:val="0"/>
              <w:rPr>
                <w:rFonts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Kein Löschen mit Wasser im Vollstrahl, b</w:t>
            </w:r>
            <w:r>
              <w:rPr>
                <w:rFonts w:ascii="Arial" w:hAnsi="Arial" w:cs="Arial"/>
                <w:b/>
                <w:sz w:val="22"/>
              </w:rPr>
              <w:t>esser Schaum - bzw. CO</w:t>
            </w:r>
            <w:r>
              <w:rPr>
                <w:rFonts w:ascii="Arial" w:hAnsi="Arial" w:cs="Arial"/>
                <w:b/>
                <w:sz w:val="22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 xml:space="preserve"> –Löscher oder ggf. in Außenbereichen Pulverlöscher verwenden. Löschdecke bedingt tauglich</w:t>
            </w:r>
            <w:r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 xml:space="preserve"> Keine wässrigen Schäume verwenden</w:t>
            </w:r>
          </w:p>
          <w:p w:rsidR="00974806" w:rsidRDefault="00974806">
            <w:pPr>
              <w:tabs>
                <w:tab w:val="left" w:pos="567"/>
              </w:tabs>
              <w:spacing w:before="20" w:after="20"/>
              <w:ind w:left="1004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974806">
        <w:trPr>
          <w:jc w:val="center"/>
        </w:trPr>
        <w:tc>
          <w:tcPr>
            <w:tcW w:w="10967" w:type="dxa"/>
            <w:gridSpan w:val="2"/>
            <w:tcBorders>
              <w:left w:val="single" w:sz="48" w:space="0" w:color="0000FF"/>
              <w:right w:val="single" w:sz="48" w:space="0" w:color="0000FF"/>
            </w:tcBorders>
            <w:shd w:val="clear" w:color="auto" w:fill="0000FF"/>
            <w:tcMar>
              <w:left w:w="10" w:type="dxa"/>
            </w:tcMar>
          </w:tcPr>
          <w:p w:rsidR="00974806" w:rsidRDefault="003E0F70">
            <w:pPr>
              <w:pStyle w:val="berschrif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Verhalten bei Unfällen / Erste Hilfe</w:t>
            </w:r>
          </w:p>
        </w:tc>
      </w:tr>
      <w:tr w:rsidR="00974806">
        <w:trPr>
          <w:jc w:val="center"/>
        </w:trPr>
        <w:tc>
          <w:tcPr>
            <w:tcW w:w="1361" w:type="dxa"/>
            <w:tcBorders>
              <w:left w:val="single" w:sz="48" w:space="0" w:color="0000FF"/>
            </w:tcBorders>
            <w:shd w:val="clear" w:color="auto" w:fill="auto"/>
            <w:tcMar>
              <w:left w:w="10" w:type="dxa"/>
            </w:tcMar>
          </w:tcPr>
          <w:p w:rsidR="00974806" w:rsidRDefault="003E0F70">
            <w:pPr>
              <w:spacing w:before="72" w:after="72"/>
              <w:ind w:left="57"/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1025" cy="554355"/>
                  <wp:effectExtent l="0" t="0" r="0" b="0"/>
                  <wp:docPr id="11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6" w:type="dxa"/>
            <w:tcBorders>
              <w:right w:val="single" w:sz="48" w:space="0" w:color="0000FF"/>
            </w:tcBorders>
            <w:shd w:val="clear" w:color="auto" w:fill="auto"/>
          </w:tcPr>
          <w:p w:rsidR="00974806" w:rsidRDefault="003E0F70">
            <w:pPr>
              <w:pStyle w:val="FormatvorlageRegeln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Ladegerät abschalten und unter Beachtung des Eigenschutzes </w:t>
            </w:r>
            <w:r>
              <w:rPr>
                <w:sz w:val="20"/>
              </w:rPr>
              <w:t>möglichst die Steckverbindungen tre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nen.</w:t>
            </w:r>
          </w:p>
          <w:p w:rsidR="00974806" w:rsidRDefault="003E0F70">
            <w:pPr>
              <w:pStyle w:val="FormatvorlageRegeln"/>
              <w:numPr>
                <w:ilvl w:val="0"/>
                <w:numId w:val="6"/>
              </w:numPr>
              <w:spacing w:before="20" w:after="20"/>
              <w:rPr>
                <w:sz w:val="20"/>
              </w:rPr>
            </w:pPr>
            <w:r>
              <w:rPr>
                <w:sz w:val="20"/>
              </w:rPr>
              <w:t>Bei Augenverletzungen durch Elektrolyt sofort Augenspülung (min. 15 Minuten) anwenden und Arzt aufsuchen</w:t>
            </w:r>
          </w:p>
          <w:p w:rsidR="00974806" w:rsidRDefault="003E0F70">
            <w:pPr>
              <w:pStyle w:val="FormatvorlageRegeln"/>
              <w:numPr>
                <w:ilvl w:val="0"/>
                <w:numId w:val="6"/>
              </w:numPr>
              <w:spacing w:before="20" w:after="20"/>
              <w:rPr>
                <w:sz w:val="20"/>
              </w:rPr>
            </w:pPr>
            <w:r>
              <w:rPr>
                <w:sz w:val="20"/>
              </w:rPr>
              <w:t>Bei Hautkontakt betroffene Hautpartie mit reichlich Wasser und Seife abwaschen</w:t>
            </w:r>
          </w:p>
          <w:p w:rsidR="00974806" w:rsidRDefault="003E0F70"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Notruf (0) 112</w:t>
            </w:r>
          </w:p>
          <w:p w:rsidR="00974806" w:rsidRDefault="003E0F70"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Verletzen bergen</w:t>
            </w:r>
            <w:r>
              <w:rPr>
                <w:rFonts w:ascii="Arial" w:hAnsi="Arial" w:cs="Arial"/>
              </w:rPr>
              <w:t xml:space="preserve"> und betreuen.</w:t>
            </w:r>
          </w:p>
          <w:p w:rsidR="00974806" w:rsidRDefault="003E0F70"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Erste Hilfe leisten, Ersthelfer hinzuziehen.</w:t>
            </w:r>
          </w:p>
        </w:tc>
      </w:tr>
      <w:tr w:rsidR="00974806">
        <w:trPr>
          <w:jc w:val="center"/>
        </w:trPr>
        <w:tc>
          <w:tcPr>
            <w:tcW w:w="10967" w:type="dxa"/>
            <w:gridSpan w:val="2"/>
            <w:tcBorders>
              <w:left w:val="single" w:sz="48" w:space="0" w:color="0000FF"/>
              <w:right w:val="single" w:sz="48" w:space="0" w:color="0000FF"/>
            </w:tcBorders>
            <w:shd w:val="clear" w:color="auto" w:fill="0000FF"/>
            <w:tcMar>
              <w:left w:w="10" w:type="dxa"/>
            </w:tcMar>
          </w:tcPr>
          <w:p w:rsidR="00974806" w:rsidRDefault="003E0F70">
            <w:pPr>
              <w:pStyle w:val="berschrift2"/>
              <w:rPr>
                <w:rFonts w:ascii="Arial" w:hAnsi="Arial" w:cs="Arial"/>
                <w:spacing w:val="60"/>
                <w:sz w:val="24"/>
              </w:rPr>
            </w:pPr>
            <w:r>
              <w:rPr>
                <w:rFonts w:ascii="Arial" w:hAnsi="Arial" w:cs="Arial"/>
                <w:spacing w:val="60"/>
                <w:sz w:val="24"/>
              </w:rPr>
              <w:t>Instandhaltung</w:t>
            </w:r>
          </w:p>
        </w:tc>
      </w:tr>
      <w:tr w:rsidR="00974806">
        <w:trPr>
          <w:jc w:val="center"/>
        </w:trPr>
        <w:tc>
          <w:tcPr>
            <w:tcW w:w="10967" w:type="dxa"/>
            <w:gridSpan w:val="2"/>
            <w:tcBorders>
              <w:left w:val="single" w:sz="48" w:space="0" w:color="0000FF"/>
              <w:bottom w:val="single" w:sz="48" w:space="0" w:color="0000FF"/>
              <w:right w:val="single" w:sz="48" w:space="0" w:color="0000FF"/>
            </w:tcBorders>
            <w:shd w:val="clear" w:color="auto" w:fill="auto"/>
            <w:tcMar>
              <w:left w:w="10" w:type="dxa"/>
            </w:tcMar>
          </w:tcPr>
          <w:p w:rsidR="00974806" w:rsidRDefault="003E0F70">
            <w:pPr>
              <w:pStyle w:val="FormatvorlageRegeln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Keine Reparatur-/Instandsetzungsarbeiten an Li-Ionen-Akkus durchführen</w:t>
            </w:r>
          </w:p>
          <w:p w:rsidR="00974806" w:rsidRDefault="003E0F70">
            <w:pPr>
              <w:pStyle w:val="FormatvorlageRegeln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Lithium- Akkus gehören nicht in den Hausmüll,</w:t>
            </w:r>
            <w:r>
              <w:rPr>
                <w:sz w:val="20"/>
              </w:rPr>
              <w:t xml:space="preserve"> Akkus einer fachgerechten Entsorgung zuführen</w:t>
            </w:r>
          </w:p>
          <w:p w:rsidR="00974806" w:rsidRDefault="003E0F70">
            <w:pPr>
              <w:pStyle w:val="FormatvorlageRegeln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Elektroden zur Entsorgung abkleben </w:t>
            </w:r>
          </w:p>
          <w:p w:rsidR="00974806" w:rsidRDefault="003E0F70">
            <w:pPr>
              <w:pStyle w:val="FormatvorlageRegeln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0"/>
              </w:rPr>
              <w:t>Lagerung defekter Li-Akkus in feuerbeständigen Behältern</w:t>
            </w:r>
            <w:r>
              <w:rPr>
                <w:sz w:val="22"/>
                <w:szCs w:val="24"/>
              </w:rPr>
              <w:t>.</w:t>
            </w:r>
          </w:p>
        </w:tc>
      </w:tr>
    </w:tbl>
    <w:p w:rsidR="00974806" w:rsidRDefault="00974806">
      <w:pPr>
        <w:rPr>
          <w:rFonts w:ascii="Arial" w:hAnsi="Arial" w:cs="Arial"/>
          <w:sz w:val="24"/>
        </w:rPr>
      </w:pPr>
    </w:p>
    <w:p w:rsidR="00974806" w:rsidRDefault="003E0F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Unterschrift:</w:t>
      </w:r>
    </w:p>
    <w:sectPr w:rsidR="00974806">
      <w:pgSz w:w="11906" w:h="16838"/>
      <w:pgMar w:top="851" w:right="680" w:bottom="851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779"/>
    <w:multiLevelType w:val="multilevel"/>
    <w:tmpl w:val="AFBA16D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520BF"/>
    <w:multiLevelType w:val="multilevel"/>
    <w:tmpl w:val="CEC8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51FE5"/>
    <w:multiLevelType w:val="multilevel"/>
    <w:tmpl w:val="A64050EC"/>
    <w:lvl w:ilvl="0">
      <w:start w:val="1"/>
      <w:numFmt w:val="bullet"/>
      <w:lvlText w:val=""/>
      <w:lvlJc w:val="left"/>
      <w:pPr>
        <w:tabs>
          <w:tab w:val="num" w:pos="1641"/>
        </w:tabs>
        <w:ind w:left="1641" w:hanging="284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E0C30"/>
    <w:multiLevelType w:val="multilevel"/>
    <w:tmpl w:val="86723CF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5308A"/>
    <w:multiLevelType w:val="multilevel"/>
    <w:tmpl w:val="B5006B50"/>
    <w:lvl w:ilvl="0">
      <w:start w:val="1"/>
      <w:numFmt w:val="bullet"/>
      <w:pStyle w:val="FormatvorlageRegeln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B31F9"/>
    <w:multiLevelType w:val="multilevel"/>
    <w:tmpl w:val="A5D68EB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61ECA"/>
    <w:multiLevelType w:val="multilevel"/>
    <w:tmpl w:val="E67A5BE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C3D7F9F"/>
    <w:multiLevelType w:val="multilevel"/>
    <w:tmpl w:val="866693B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06"/>
    <w:rsid w:val="003E0F70"/>
    <w:rsid w:val="00974806"/>
    <w:rsid w:val="00D5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jc w:val="center"/>
      <w:outlineLvl w:val="1"/>
    </w:pPr>
    <w:rPr>
      <w:b/>
      <w:color w:val="FFFFFF"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color w:val="FFFFFF"/>
      <w:spacing w:val="60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120"/>
      <w:jc w:val="center"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16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2"/>
      <w:szCs w:val="22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sz w:val="22"/>
      <w:szCs w:val="22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sz w:val="22"/>
      <w:szCs w:val="22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  <w:sz w:val="22"/>
      <w:szCs w:val="22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22"/>
      <w:szCs w:val="22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FormatvorlageRegeln">
    <w:name w:val="Formatvorlage_Regeln"/>
    <w:basedOn w:val="Standard"/>
    <w:qFormat/>
    <w:pPr>
      <w:numPr>
        <w:numId w:val="4"/>
      </w:numPr>
    </w:pPr>
    <w:rPr>
      <w:rFonts w:ascii="Arial" w:hAnsi="Arial" w:cs="Arial"/>
      <w:sz w:val="24"/>
    </w:r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jc w:val="center"/>
      <w:outlineLvl w:val="1"/>
    </w:pPr>
    <w:rPr>
      <w:b/>
      <w:color w:val="FFFFFF"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color w:val="FFFFFF"/>
      <w:spacing w:val="60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120"/>
      <w:jc w:val="center"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16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2"/>
      <w:szCs w:val="22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sz w:val="22"/>
      <w:szCs w:val="22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sz w:val="22"/>
      <w:szCs w:val="22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  <w:sz w:val="22"/>
      <w:szCs w:val="22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22"/>
      <w:szCs w:val="22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FormatvorlageRegeln">
    <w:name w:val="Formatvorlage_Regeln"/>
    <w:basedOn w:val="Standard"/>
    <w:qFormat/>
    <w:pPr>
      <w:numPr>
        <w:numId w:val="4"/>
      </w:numPr>
    </w:pPr>
    <w:rPr>
      <w:rFonts w:ascii="Arial" w:hAnsi="Arial" w:cs="Arial"/>
      <w:sz w:val="24"/>
    </w:r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BTA-Nr</vt:lpstr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BTA-Nr</dc:title>
  <dc:creator>A0TAART</dc:creator>
  <cp:lastModifiedBy>Technische Universität CLausthal</cp:lastModifiedBy>
  <cp:revision>2</cp:revision>
  <cp:lastPrinted>2007-07-05T11:32:00Z</cp:lastPrinted>
  <dcterms:created xsi:type="dcterms:W3CDTF">2017-02-15T08:42:00Z</dcterms:created>
  <dcterms:modified xsi:type="dcterms:W3CDTF">2017-02-15T08:42:00Z</dcterms:modified>
  <dc:language>de-DE</dc:language>
</cp:coreProperties>
</file>